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line="300" w:lineRule="auto"/>
      </w:pPr>
      <w:r>
        <w:drawing>
          <wp:inline xmlns:a="http://schemas.openxmlformats.org/drawingml/2006/main" xmlns:pic="http://schemas.openxmlformats.org/drawingml/2006/picture">
            <wp:extent cx="1554480" cy="488551"/>
            <wp:docPr id="1" name="Picture 1"/>
            <wp:cNvGraphicFramePr>
              <a:graphicFrameLocks noChangeAspect="1"/>
            </wp:cNvGraphicFramePr>
            <a:graphic>
              <a:graphicData uri="http://schemas.openxmlformats.org/drawingml/2006/picture">
                <pic:pic>
                  <pic:nvPicPr>
                    <pic:cNvPr id="0" name="ink.png"/>
                    <pic:cNvPicPr/>
                  </pic:nvPicPr>
                  <pic:blipFill>
                    <a:blip r:embed="rId12"/>
                    <a:stretch>
                      <a:fillRect/>
                    </a:stretch>
                  </pic:blipFill>
                  <pic:spPr>
                    <a:xfrm>
                      <a:off x="0" y="0"/>
                      <a:ext cx="1554480" cy="488551"/>
                    </a:xfrm>
                    <a:prstGeom prst="rect"/>
                  </pic:spPr>
                </pic:pic>
              </a:graphicData>
            </a:graphic>
          </wp:inline>
        </w:drawing>
      </w:r>
    </w:p>
    <w:p>
      <w:pPr>
        <w:spacing w:after="80" w:before="0" w:line="300" w:lineRule="auto"/>
      </w:pPr>
      <w:r>
        <w:rPr>
          <w:rFonts w:ascii="Montserrat" w:hAnsi="Montserrat" w:eastAsia="Montserrat"/>
          <w:b/>
          <w:i w:val="0"/>
          <w:color w:val="00806F"/>
          <w:sz w:val="21"/>
        </w:rPr>
        <w:t>Leaders ADAPT teaching package</w:t>
      </w:r>
    </w:p>
    <w:p>
      <w:pPr>
        <w:spacing w:after="160" w:before="0" w:line="252" w:lineRule="auto"/>
      </w:pPr>
      <w:r>
        <w:rPr>
          <w:rFonts w:ascii="Montserrat" w:hAnsi="Montserrat" w:eastAsia="Montserrat"/>
          <w:b/>
          <w:i w:val="0"/>
          <w:color w:val="111318"/>
          <w:sz w:val="44"/>
        </w:rPr>
        <w:t>Teaching scaling leadership: a free session plan for founders, executives and MBA classes</w:t>
      </w:r>
    </w:p>
    <w:p>
      <w:pPr>
        <w:spacing w:after="200" w:before="0" w:line="324" w:lineRule="auto"/>
        <w:pBdr>
          <w:bottom w:val="single" w:sz="12" w:space="4" w:color="00BFA5"/>
        </w:pBdr>
      </w:pPr>
      <w:r>
        <w:rPr>
          <w:rFonts w:ascii="Arial" w:hAnsi="Arial" w:eastAsia="Arial"/>
          <w:b w:val="0"/>
          <w:i w:val="0"/>
          <w:color w:val="5B616E"/>
          <w:sz w:val="22"/>
        </w:rPr>
        <w:t>A ready to run session on leading leaders, the move from managing a team to running managers, free to use under CC BY 4.0. Participants take a four minute scaling readiness test, diagnose a fictional company that added a management layer and stalled, and leave with a one page cascade check of their own team.</w:t>
      </w:r>
    </w:p>
    <w:p>
      <w:pPr>
        <w:keepNext/>
        <w:spacing w:after="100" w:before="200" w:line="264" w:lineRule="auto"/>
      </w:pPr>
      <w:r>
        <w:rPr>
          <w:rFonts w:ascii="Montserrat" w:hAnsi="Montserrat" w:eastAsia="Montserrat"/>
          <w:b/>
          <w:i w:val="0"/>
          <w:color w:val="111318"/>
          <w:sz w:val="28"/>
        </w:rPr>
        <w:t>Who this is for</w:t>
      </w:r>
    </w:p>
    <w:p>
      <w:pPr>
        <w:spacing w:after="160" w:before="0" w:line="324" w:lineRule="auto"/>
      </w:pPr>
      <w:r>
        <w:rPr>
          <w:rFonts w:ascii="Arial" w:hAnsi="Arial" w:eastAsia="Arial"/>
          <w:b w:val="0"/>
          <w:i w:val="0"/>
          <w:color w:val="111318"/>
          <w:sz w:val="21"/>
        </w:rPr>
        <w:t>Instructors of MBA entrepreneurship, scaling and organisational design courses, executive education programmes, founder programmes and accelerators, learning and development leads running training for managers of managers, and CEOs who want to run one working session with their own leadership team. Students without management experience work the whole worksheet on the fictional case; people who run managers work it on their own team.</w:t>
      </w:r>
    </w:p>
    <w:p>
      <w:pPr>
        <w:keepNext/>
        <w:spacing w:after="100" w:before="320" w:line="264" w:lineRule="auto"/>
      </w:pPr>
      <w:r>
        <w:rPr>
          <w:rFonts w:ascii="Montserrat" w:hAnsi="Montserrat" w:eastAsia="Montserrat"/>
          <w:b/>
          <w:i w:val="0"/>
          <w:color w:val="111318"/>
          <w:sz w:val="28"/>
        </w:rPr>
        <w:t>What participants leave with</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scaling readiness score across four areas (Cascade, Accountability, Visibility, Restraint) from the free test, and the one area to work on first.</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One live project rewritten as a RACI with exactly one person accountable, and the uncomfortable conversation that choice implies.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A cascade check on one page: each manager checked against the four scaling red flags, one handoff a manager tried to push back up rehearsed as a COACH conversation, and three skip level questions booked with a named person and a date.</w:t>
      </w:r>
    </w:p>
    <w:p>
      <w:pPr>
        <w:keepNext/>
        <w:spacing w:after="100" w:before="320" w:line="264" w:lineRule="auto"/>
      </w:pPr>
      <w:r>
        <w:rPr>
          <w:rFonts w:ascii="Montserrat" w:hAnsi="Montserrat" w:eastAsia="Montserrat"/>
          <w:b/>
          <w:i w:val="0"/>
          <w:color w:val="111318"/>
          <w:sz w:val="28"/>
        </w:rPr>
        <w:t>Pre-work (optional, 10 minutes)</w:t>
      </w:r>
    </w:p>
    <w:p>
      <w:pPr>
        <w:spacing w:after="160" w:before="0" w:line="324" w:lineRule="auto"/>
      </w:pPr>
      <w:r>
        <w:rPr>
          <w:rFonts w:ascii="Arial" w:hAnsi="Arial" w:eastAsia="Arial"/>
          <w:b w:val="0"/>
          <w:i w:val="0"/>
          <w:color w:val="111318"/>
          <w:sz w:val="21"/>
        </w:rPr>
        <w:t>Ask participants to list every project they are involved in that has more than three people or crosses a team boundary, and to note any time in the last month someone said "I assumed someone else had that." For the 90 minute version, also ask them to take the free bottleneck test, which shows whether the ceiling right now is their calendar, their decisions, their team or their strategy.</w:t>
      </w:r>
    </w:p>
    <w:p>
      <w:pPr>
        <w:keepNext/>
        <w:spacing w:after="100" w:before="320" w:line="264" w:lineRule="auto"/>
      </w:pPr>
      <w:r>
        <w:rPr>
          <w:rFonts w:ascii="Montserrat" w:hAnsi="Montserrat" w:eastAsia="Montserrat"/>
          <w:b/>
          <w:i w:val="0"/>
          <w:color w:val="111318"/>
          <w:sz w:val="28"/>
        </w:rPr>
        <w:t>Leading leaders: the cascade model</w:t>
      </w:r>
    </w:p>
    <w:p>
      <w:pPr>
        <w:spacing w:after="160" w:before="0" w:line="324" w:lineRule="auto"/>
      </w:pPr>
      <w:r>
        <w:rPr>
          <w:rFonts w:ascii="Arial" w:hAnsi="Arial" w:eastAsia="Arial"/>
          <w:b w:val="0"/>
          <w:i w:val="0"/>
          <w:color w:val="111318"/>
          <w:sz w:val="21"/>
        </w:rPr>
        <w:t>Andreas Pettersson's working model for the point where the people who report to you run teams of their own. What works at ten people breaks at forty, and what works at forty breaks at a hundred. The fix is not doing the same things harder. It is making each habit cascade, so your managers do with their people what you do with them, and checking that it actually happened two levels down.</w:t>
      </w:r>
    </w:p>
    <w:p>
      <w:pPr>
        <w:keepNext/>
        <w:spacing w:after="40" w:before="80" w:line="288" w:lineRule="auto"/>
      </w:pPr>
      <w:r>
        <w:rPr>
          <w:rFonts w:ascii="Arial" w:hAnsi="Arial" w:eastAsia="Arial"/>
          <w:b/>
          <w:i w:val="0"/>
          <w:color w:val="111318"/>
          <w:sz w:val="21"/>
        </w:rPr>
        <w:t>Cascade delegation</w:t>
      </w:r>
    </w:p>
    <w:p>
      <w:pPr>
        <w:spacing w:after="120" w:before="0" w:line="324" w:lineRule="auto"/>
        <w:ind w:left="288"/>
      </w:pPr>
      <w:r>
        <w:rPr>
          <w:rFonts w:ascii="Arial" w:hAnsi="Arial" w:eastAsia="Arial"/>
          <w:b w:val="0"/>
          <w:i w:val="0"/>
          <w:color w:val="111318"/>
          <w:sz w:val="21"/>
        </w:rPr>
        <w:t>Four moves. 1. Teach it: people usually get promoted because they were excellent at the job itself, which says nothing about whether they can hand that job to someone else. Show your managers how you hand work over and let them try it on something low risk first. 2. Watch it: join one of their handoffs as a coach, not an inspector, and give the feedback afterwards with SBED (Situation, Behavior, Experience, Demands). 3. Ask about it in your 1:1s: "What did you hand off since we last met, and how did you set it up?" A fuzzy answer usually means the work is being kept, or passed on with no reason attached. 4. Check it two levels down with skip level questions: What are you the owner of at the moment? Which decisions can you make without asking anyone? Tell me about the last call you made on your own.</w:t>
      </w:r>
    </w:p>
    <w:p>
      <w:pPr>
        <w:keepNext/>
        <w:spacing w:after="40" w:before="80" w:line="288" w:lineRule="auto"/>
      </w:pPr>
      <w:r>
        <w:rPr>
          <w:rFonts w:ascii="Arial" w:hAnsi="Arial" w:eastAsia="Arial"/>
          <w:b/>
          <w:i w:val="0"/>
          <w:color w:val="111318"/>
          <w:sz w:val="21"/>
        </w:rPr>
        <w:t>RACI with one A</w:t>
      </w:r>
    </w:p>
    <w:p>
      <w:pPr>
        <w:spacing w:after="120" w:before="0" w:line="324" w:lineRule="auto"/>
        <w:ind w:left="288"/>
      </w:pPr>
      <w:r>
        <w:rPr>
          <w:rFonts w:ascii="Arial" w:hAnsi="Arial" w:eastAsia="Arial"/>
          <w:b w:val="0"/>
          <w:i w:val="0"/>
          <w:color w:val="111318"/>
          <w:sz w:val="21"/>
        </w:rPr>
        <w:t>R, Responsible: the people doing the work, as many as needed. A, Accountable: the single person who owns the result. C, Consulted: asked before the decision, a conversation in both directions. I, Informed: told afterwards, a one way update. The rule: exactly one A. Two owners means no owner. Reach for it whenever more than three people are involved, whenever work crosses a team line, and whenever someone has said "I assumed someone else had that."</w:t>
      </w:r>
    </w:p>
    <w:p>
      <w:pPr>
        <w:keepNext/>
        <w:spacing w:after="40" w:before="80" w:line="288" w:lineRule="auto"/>
      </w:pPr>
      <w:r>
        <w:rPr>
          <w:rFonts w:ascii="Arial" w:hAnsi="Arial" w:eastAsia="Arial"/>
          <w:b/>
          <w:i w:val="0"/>
          <w:color w:val="111318"/>
          <w:sz w:val="21"/>
        </w:rPr>
        <w:t>The four scaling red flags</w:t>
      </w:r>
    </w:p>
    <w:p>
      <w:pPr>
        <w:spacing w:after="120" w:before="0" w:line="324" w:lineRule="auto"/>
        <w:ind w:left="288"/>
      </w:pPr>
      <w:r>
        <w:rPr>
          <w:rFonts w:ascii="Arial" w:hAnsi="Arial" w:eastAsia="Arial"/>
          <w:b w:val="0"/>
          <w:i w:val="0"/>
          <w:color w:val="111318"/>
          <w:sz w:val="21"/>
        </w:rPr>
        <w:t>The Bottleneck Manager: nothing moves until it has passed their desk, so able people stop taking initiative. Fix: pick three recurring decisions and give them away for good, with a report after the fact. The Reverse Delegator: work handed down keeps finding its way back up, and they accept it. Fix: answer with a question, "If I were unreachable today, what would you do?" The Task Dumper: hands out work with no reason attached, so the team is busy and unsure why. Fix: for one week, every handoff starts with why it matters and what done looks like. The Phantom Delegator: reports that the work has been handed over while it is still sitting in their own head. Fix: make it visible. Work that nobody can see on a shared list has not really been handed over.</w:t>
      </w:r>
    </w:p>
    <w:p>
      <w:pPr>
        <w:keepNext/>
        <w:spacing w:after="40" w:before="80" w:line="288" w:lineRule="auto"/>
      </w:pPr>
      <w:r>
        <w:rPr>
          <w:rFonts w:ascii="Arial" w:hAnsi="Arial" w:eastAsia="Arial"/>
          <w:b/>
          <w:i w:val="0"/>
          <w:color w:val="111318"/>
          <w:sz w:val="21"/>
        </w:rPr>
        <w:t>The COACH conversation</w:t>
      </w:r>
    </w:p>
    <w:p>
      <w:pPr>
        <w:spacing w:after="120" w:before="0" w:line="324" w:lineRule="auto"/>
        <w:ind w:left="288"/>
      </w:pPr>
      <w:r>
        <w:rPr>
          <w:rFonts w:ascii="Arial" w:hAnsi="Arial" w:eastAsia="Arial"/>
          <w:b w:val="0"/>
          <w:i w:val="0"/>
          <w:color w:val="111318"/>
          <w:sz w:val="21"/>
        </w:rPr>
        <w:t>When a manager brings you a problem that belongs to them, the scaling move is to coach, not to solve. Andreas teaches a five step conversation for it in his manager coaching course. Concern: "What's on your mind?" Objective: "What do you want to happen?" Actions: "What actions can you take?" Commitment: "What will you commit to doing?" Help: "What do you need to succeed?" Every answer stays with the manager. If you leave the conversation holding the action, you have just been reverse delegated to. Managers who are coached this way start running the same conversation with their own people, which is what cascading looks like in practice.</w:t>
      </w:r>
    </w:p>
    <w:p>
      <w:pPr>
        <w:keepNext/>
        <w:spacing w:after="40" w:before="80" w:line="288" w:lineRule="auto"/>
      </w:pPr>
      <w:r>
        <w:rPr>
          <w:rFonts w:ascii="Arial" w:hAnsi="Arial" w:eastAsia="Arial"/>
          <w:b/>
          <w:i w:val="0"/>
          <w:color w:val="111318"/>
          <w:sz w:val="21"/>
        </w:rPr>
        <w:t>The Bottleneck Progression</w:t>
      </w:r>
    </w:p>
    <w:p>
      <w:pPr>
        <w:spacing w:after="120" w:before="0" w:line="324" w:lineRule="auto"/>
        <w:ind w:left="288"/>
      </w:pPr>
      <w:r>
        <w:rPr>
          <w:rFonts w:ascii="Arial" w:hAnsi="Arial" w:eastAsia="Arial"/>
          <w:b w:val="0"/>
          <w:i w:val="0"/>
          <w:color w:val="111318"/>
          <w:sz w:val="21"/>
        </w:rPr>
        <w:t>Growth ceilings arrive in a fixed order. First the calendar: everything waits on your time. Then the team: the team cannot run without you in the middle of it. Then strategy: the business runs, but nobody, you included, is deciding where it goes next. Fixing one ceiling exposes the next, so the useful question is never "am I a bottleneck?" but "which ceiling am I under right now?" The bottleneck test answers that.</w:t>
      </w:r>
    </w:p>
    <w:p>
      <w:pPr>
        <w:keepNext/>
        <w:spacing w:after="40" w:before="80" w:line="288" w:lineRule="auto"/>
      </w:pPr>
      <w:r>
        <w:rPr>
          <w:rFonts w:ascii="Arial" w:hAnsi="Arial" w:eastAsia="Arial"/>
          <w:b/>
          <w:i w:val="0"/>
          <w:color w:val="111318"/>
          <w:sz w:val="21"/>
        </w:rPr>
        <w:t>The Valley of Death</w:t>
      </w:r>
    </w:p>
    <w:p>
      <w:pPr>
        <w:spacing w:after="120" w:before="0" w:line="324" w:lineRule="auto"/>
        <w:ind w:left="288"/>
      </w:pPr>
      <w:r>
        <w:rPr>
          <w:rFonts w:ascii="Arial" w:hAnsi="Arial" w:eastAsia="Arial"/>
          <w:b w:val="0"/>
          <w:i w:val="0"/>
          <w:color w:val="111318"/>
          <w:sz w:val="21"/>
        </w:rPr>
        <w:t>The plateau that arrives when a company adds a management layer, directors and VPs, without moving decision rights to it. The market did not cause it. Boxes on the org chart without authority did. The tell is the new layer asking upward for sign off on decisions it was hired to make. Andreas's line to the person in that seat: "To ask for permission is to seek denial." His line to the founder above them is the cascade model: if the decisions did not move, the layer is cost, not leverage.</w:t>
      </w:r>
    </w:p>
    <w:p>
      <w:pPr>
        <w:spacing w:after="160" w:before="0" w:line="324" w:lineRule="auto"/>
      </w:pPr>
      <w:r>
        <w:rPr>
          <w:rFonts w:ascii="Arial" w:hAnsi="Arial" w:eastAsia="Arial"/>
          <w:b w:val="0"/>
          <w:i/>
          <w:color w:val="5B616E"/>
          <w:sz w:val="19"/>
        </w:rPr>
        <w:t>RACI is a long standing responsibility assignment convention with no single author. EOS is Gino Wickman's system from Traction, and Scaling Up is Verne Harnish's. The cascade model, the one A rule as stated here, the four red flags, the COACH conversation, the Bottleneck Progression and the Valley of Death are Andreas Pettersson's.</w:t>
      </w:r>
    </w:p>
    <w:p>
      <w:pPr>
        <w:keepNext/>
        <w:spacing w:after="100" w:before="320" w:line="264" w:lineRule="auto"/>
      </w:pPr>
      <w:r>
        <w:rPr>
          <w:rFonts w:ascii="Montserrat" w:hAnsi="Montserrat" w:eastAsia="Montserrat"/>
          <w:b/>
          <w:i w:val="0"/>
          <w:color w:val="111318"/>
          <w:sz w:val="28"/>
        </w:rPr>
        <w:t>Session plans</w:t>
      </w:r>
    </w:p>
    <w:p>
      <w:pPr>
        <w:spacing w:after="160" w:before="0" w:line="324" w:lineRule="auto"/>
      </w:pPr>
      <w:r>
        <w:rPr>
          <w:rFonts w:ascii="Arial" w:hAnsi="Arial" w:eastAsia="Arial"/>
          <w:b w:val="0"/>
          <w:i w:val="0"/>
          <w:color w:val="111318"/>
          <w:sz w:val="21"/>
        </w:rPr>
        <w:t>Pick the length that fits your slot. Every version uses the same test, framework and worksheet.</w:t>
      </w:r>
    </w:p>
    <w:p>
      <w:pPr>
        <w:keepNext/>
        <w:spacing w:after="80" w:before="80" w:line="264" w:lineRule="auto"/>
      </w:pPr>
      <w:r>
        <w:rPr>
          <w:rFonts w:ascii="Montserrat" w:hAnsi="Montserrat" w:eastAsia="Montserrat"/>
          <w:b/>
          <w:i w:val="0"/>
          <w:color w:val="00806F"/>
          <w:sz w:val="22"/>
        </w:rPr>
        <w:t>45 minute version (run of show)</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0‑5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Frame it with the breakpoints: what works at ten people breaks at forty, and what works at forty breaks at a hundred. Hands up on "I assumed someone else had that."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5‑10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free scaling readiness test. They fill in Section 1 of the worksheet with the four area scores.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10‑18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cascade delegation, one A, and the four red flags. Keep it to eight minutes; the case does the rest.</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18‑30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Read the case. Small groups take discussion questions 1 to 4. One group reports on the launch RACI, one on whether a COO would fix it.</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30‑40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Worksheet Sections 2 to 5 on their own team. Students and anyone without managers use Harbourline.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40‑45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Pairs read their RACI to each other. The partner's only job is to challenge whether the A is really one person. Close on the Valley of Death: name one decision still coming to you that belongs a level down.</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20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0‑4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Everyone takes the free scaling readiness test and notes the score and the lowest of the four areas.</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4‑8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Ask: whose direct reports now run teams of their own? Hands up: who heard "I assumed someone else had that" in the last month? Teach cascade delegation and the one A rule.</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8‑14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Read the case. Pairs answer discussion question 1: which red flag does each director show, and which one does the founder show?</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14‑20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Section 3 of the worksheet: one real project (or the case launch) as a RACI with one A. Close by having each person write the three skip level questions and the name of one person they will ask this week.</w:t>
            </w:r>
          </w:p>
        </w:tc>
      </w:tr>
    </w:tbl>
    <w:p>
      <w:pPr>
        <w:spacing w:after="0" w:before="0" w:line="240" w:lineRule="auto"/>
      </w:pPr>
    </w:p>
    <w:p>
      <w:pPr>
        <w:keepNext/>
        <w:spacing w:after="80" w:before="200" w:line="264" w:lineRule="auto"/>
      </w:pPr>
      <w:r>
        <w:rPr>
          <w:rFonts w:ascii="Montserrat" w:hAnsi="Montserrat" w:eastAsia="Montserrat"/>
          <w:b/>
          <w:i w:val="0"/>
          <w:color w:val="00806F"/>
          <w:sz w:val="22"/>
        </w:rPr>
        <w:t>90 minute version</w:t>
      </w:r>
    </w:p>
    <w:tbl>
      <w:tblPr>
        <w:tblW w:type="auto" w:w="0"/>
        <w:tblLayout w:type="fixed"/>
        <w:tblLook w:firstColumn="1" w:firstRow="1" w:lastColumn="0" w:lastRow="0" w:noHBand="0" w:noVBand="1" w:val="04A0"/>
        <w:tblBorders>
          <w:top w:val="single" w:sz="4" w:color="E3E1DC"/>
          <w:left w:val="single" w:sz="4" w:color="E3E1DC"/>
          <w:bottom w:val="single" w:sz="4" w:color="E3E1DC"/>
          <w:right w:val="single" w:sz="4" w:color="E3E1DC"/>
          <w:insideH w:val="single" w:sz="4" w:color="E3E1DC"/>
          <w:insideV w:val="single" w:sz="4" w:color="E3E1DC"/>
        </w:tblBorders>
      </w:tblPr>
      <w:tblGrid>
        <w:gridCol w:w="1440"/>
        <w:gridCol w:w="8352"/>
      </w:tblGrid>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0‑5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Frame it with the breakpoints: the moment your direct reports run teams of their own, your job changes. Take a quick count of who in the room runs managers today.</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5‑15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Everyone takes the scaling readiness test. Those who did the bottleneck test as pre-work note which of the four areas was their lowest there too. Teach the Bottleneck Progression: which ceiling is the room under?</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15‑30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Teach cascade delegation, one A, and the four red flags. Then a five minute role play in pairs: one person is the leader asking "What did you hand off since we last met, and how did you set it up?" The other plays a Phantom Delegator with a plausible answer. The leader has to find the gap with follow up questions alone.</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30‑45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Read the case. Small groups take discussion questions 1 to 5 and report one finding each.</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45‑58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The COACH conversation. In threes: one plays a Harbourline director who brings Tomas a problem that belongs to them, one plays Tomas and may only ask the five COACH questions, one observes and notes every moment Tomas offered an answer instead of a question. Swap once. Then each person fills in Section 4 of the worksheet for a real handoff of their own.</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58‑70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RACI lab. Each group takes the case launch and writes the RACI. Most will want two names in A. Hold the line and make them choose, then write what the other director loses and how to say it to them.</w:t>
            </w:r>
          </w:p>
        </w:tc>
      </w:tr>
      <w:tr>
        <w:trPr>
          <w:cantSplit/>
        </w:trPr>
        <w:tc>
          <w:tcPr>
            <w:tcW w:type="dxa" w:w="1440"/>
            <w:tcMar>
              <w:top w:w="70" w:type="dxa"/>
              <w:bottom w:w="70" w:type="dxa"/>
              <w:start w:w="110" w:type="dxa"/>
              <w:end w:w="110" w:type="dxa"/>
              <w:left w:w="110" w:type="dxa"/>
              <w:right w:w="110" w:type="dxa"/>
            </w:tcMar>
          </w:tcPr>
          <w:p>
            <w:pPr>
              <w:keepNext/>
            </w:pPr>
            <w:r>
              <w:rPr>
                <w:rFonts w:ascii="Arial" w:hAnsi="Arial" w:eastAsia="Arial"/>
                <w:b/>
                <w:i w:val="0"/>
                <w:color w:val="00806F"/>
                <w:sz w:val="18"/>
              </w:rPr>
              <w:t>70‑82 min</w:t>
            </w:r>
          </w:p>
        </w:tc>
        <w:tc>
          <w:tcPr>
            <w:tcW w:type="dxa" w:w="8352"/>
            <w:tcMar>
              <w:top w:w="70" w:type="dxa"/>
              <w:bottom w:w="70" w:type="dxa"/>
              <w:start w:w="140" w:type="dxa"/>
              <w:end w:w="140" w:type="dxa"/>
              <w:left w:w="140" w:type="dxa"/>
              <w:right w:w="140" w:type="dxa"/>
            </w:tcMar>
          </w:tcPr>
          <w:p>
            <w:pPr>
              <w:keepNext/>
              <w:spacing w:line="300" w:lineRule="auto" w:after="0"/>
            </w:pPr>
            <w:r>
              <w:rPr>
                <w:rFonts w:ascii="Arial" w:hAnsi="Arial" w:eastAsia="Arial"/>
                <w:b w:val="0"/>
                <w:i w:val="0"/>
                <w:color w:val="111318"/>
                <w:sz w:val="19"/>
              </w:rPr>
              <w:t>Valley of Death and the three pillars: every scaling system, EOS and Scaling Up included, comes down to a clear strategy, a meeting rhythm, and clear roles and authority. Each person completes Section 6 of the worksheet: decisions still coming to them that belong a level down, and who should own each.</w:t>
            </w:r>
          </w:p>
        </w:tc>
      </w:tr>
      <w:tr>
        <w:trPr>
          <w:cantSplit/>
        </w:trPr>
        <w:tc>
          <w:tcPr>
            <w:tcW w:type="dxa" w:w="1440"/>
            <w:tcMar>
              <w:top w:w="70" w:type="dxa"/>
              <w:bottom w:w="70" w:type="dxa"/>
              <w:start w:w="110" w:type="dxa"/>
              <w:end w:w="110" w:type="dxa"/>
              <w:left w:w="110" w:type="dxa"/>
              <w:right w:w="110" w:type="dxa"/>
            </w:tcMar>
          </w:tcPr>
          <w:p>
            <w:r>
              <w:rPr>
                <w:rFonts w:ascii="Arial" w:hAnsi="Arial" w:eastAsia="Arial"/>
                <w:b/>
                <w:i w:val="0"/>
                <w:color w:val="00806F"/>
                <w:sz w:val="18"/>
              </w:rPr>
              <w:t>82‑90 min</w:t>
            </w:r>
          </w:p>
        </w:tc>
        <w:tc>
          <w:tcPr>
            <w:tcW w:type="dxa" w:w="8352"/>
            <w:tcMar>
              <w:top w:w="70" w:type="dxa"/>
              <w:bottom w:w="70" w:type="dxa"/>
              <w:start w:w="140" w:type="dxa"/>
              <w:end w:w="140" w:type="dxa"/>
              <w:left w:w="140" w:type="dxa"/>
              <w:right w:w="140" w:type="dxa"/>
            </w:tcMar>
          </w:tcPr>
          <w:p>
            <w:pPr>
              <w:spacing w:line="300" w:lineRule="auto" w:after="0"/>
            </w:pPr>
            <w:r>
              <w:rPr>
                <w:rFonts w:ascii="Arial" w:hAnsi="Arial" w:eastAsia="Arial"/>
                <w:b w:val="0"/>
                <w:i w:val="0"/>
                <w:color w:val="111318"/>
                <w:sz w:val="19"/>
              </w:rPr>
              <w:t>Section 5: each person books three skip level questions with a named person and a date. Close with one sentence each: the first decision I will stop making.</w:t>
            </w:r>
          </w:p>
        </w:tc>
      </w:tr>
    </w:tbl>
    <w:p>
      <w:pPr>
        <w:spacing w:after="0" w:before="0" w:line="240" w:lineRule="auto"/>
      </w:pPr>
    </w:p>
    <w:p>
      <w:pPr>
        <w:keepNext/>
        <w:spacing w:after="100" w:before="320" w:line="264" w:lineRule="auto"/>
      </w:pPr>
      <w:r>
        <w:rPr>
          <w:rFonts w:ascii="Montserrat" w:hAnsi="Montserrat" w:eastAsia="Montserrat"/>
          <w:b/>
          <w:i w:val="0"/>
          <w:color w:val="111318"/>
          <w:sz w:val="28"/>
        </w:rPr>
        <w:t>The case: the founder who hired three directors and stalled</w:t>
      </w:r>
    </w:p>
    <w:p>
      <w:pPr>
        <w:keepNext/>
        <w:spacing w:after="120" w:before="0" w:line="312" w:lineRule="auto"/>
      </w:pPr>
      <w:r>
        <w:rPr>
          <w:rFonts w:ascii="Arial" w:hAnsi="Arial" w:eastAsia="Arial"/>
          <w:b/>
          <w:i w:val="0"/>
          <w:color w:val="00806F"/>
          <w:sz w:val="20"/>
        </w:rPr>
        <w:t xml:space="preserve">Fictional case, written for teaching. </w:t>
      </w:r>
      <w:r>
        <w:rPr>
          <w:rFonts w:ascii="Arial" w:hAnsi="Arial" w:eastAsia="Arial"/>
          <w:b w:val="0"/>
          <w:i w:val="0"/>
          <w:color w:val="5B616E"/>
          <w:sz w:val="20"/>
        </w:rPr>
        <w:t>Names, companies and numbers are invented.</w:t>
      </w:r>
    </w:p>
    <w:p>
      <w:pPr>
        <w:spacing w:after="160" w:before="0" w:line="324" w:lineRule="auto"/>
      </w:pPr>
      <w:r>
        <w:rPr>
          <w:rFonts w:ascii="Arial" w:hAnsi="Arial" w:eastAsia="Arial"/>
          <w:b w:val="0"/>
          <w:i w:val="0"/>
          <w:color w:val="111318"/>
          <w:sz w:val="21"/>
        </w:rPr>
        <w:t>Tomas Reyes founded Harbourline Foods, a fictional maker of chilled ready meals. In two years it grew from 35 people to 110. Eight months ago Tomas hired three directors, for operations, sales and product, so that he could step back. Revenue has been flat for three quarters, and Tomas is working longer hours than before the directors arrived.</w:t>
      </w:r>
    </w:p>
    <w:p>
      <w:pPr>
        <w:spacing w:after="160" w:before="0" w:line="324" w:lineRule="auto"/>
      </w:pPr>
      <w:r>
        <w:rPr>
          <w:rFonts w:ascii="Arial" w:hAnsi="Arial" w:eastAsia="Arial"/>
          <w:b w:val="0"/>
          <w:i w:val="0"/>
          <w:color w:val="111318"/>
          <w:sz w:val="21"/>
        </w:rPr>
        <w:t>Ana, the operations director, is the hardest worker in the building. Every production schedule change and every supplier problem goes through her, and her shift leads have stopped making calls she might reverse. Luis, the sales director, sends every discount above five percent to Tomas, and Tomas approves them, usually late at night. Priya, the product director, told Tomas in March that she had delegated the packaging redesign to her team. In July nobody on her team could say who owned it.</w:t>
      </w:r>
    </w:p>
    <w:p>
      <w:pPr>
        <w:spacing w:after="160" w:before="0" w:line="324" w:lineRule="auto"/>
      </w:pPr>
      <w:r>
        <w:rPr>
          <w:rFonts w:ascii="Arial" w:hAnsi="Arial" w:eastAsia="Arial"/>
          <w:b w:val="0"/>
          <w:i w:val="0"/>
          <w:color w:val="111318"/>
          <w:sz w:val="21"/>
        </w:rPr>
        <w:t>The biggest project of the year, a new range for a national grocery chain, is late. Ana thinks she owns the launch because she owns production. Luis thinks he owns it because he owns the customer. Both have been working on it, neither has made the call on the launch date, and the customer has been told two different dates.</w:t>
      </w:r>
    </w:p>
    <w:p>
      <w:pPr>
        <w:spacing w:after="160" w:before="0" w:line="324" w:lineRule="auto"/>
      </w:pPr>
      <w:r>
        <w:rPr>
          <w:rFonts w:ascii="Arial" w:hAnsi="Arial" w:eastAsia="Arial"/>
          <w:b w:val="0"/>
          <w:i w:val="0"/>
          <w:color w:val="111318"/>
          <w:sz w:val="21"/>
        </w:rPr>
        <w:t>The board has suggested hiring a chief operating officer. Tomas is leaning towards it. When he talks to people on the production floor, they describe their directors as "really nice" and say that the important decisions are still made by Tomas.</w:t>
      </w:r>
    </w:p>
    <w:p>
      <w:pPr>
        <w:keepNext/>
        <w:spacing w:after="100" w:before="320" w:line="264" w:lineRule="auto"/>
      </w:pPr>
      <w:r>
        <w:rPr>
          <w:rFonts w:ascii="Montserrat" w:hAnsi="Montserrat" w:eastAsia="Montserrat"/>
          <w:b/>
          <w:i w:val="0"/>
          <w:color w:val="111318"/>
          <w:sz w:val="28"/>
        </w:rPr>
        <w:t>The handout</w:t>
      </w:r>
    </w:p>
    <w:p>
      <w:pPr>
        <w:spacing w:after="160" w:before="0" w:line="324" w:lineRule="auto"/>
      </w:pPr>
      <w:r>
        <w:rPr>
          <w:rFonts w:ascii="Arial" w:hAnsi="Arial" w:eastAsia="Arial"/>
          <w:b w:val="0"/>
          <w:i w:val="0"/>
          <w:color w:val="111318"/>
          <w:sz w:val="21"/>
        </w:rPr>
        <w:t>Print one per participant, or paste it into a shared document. Work it on your own team, or on Harbourline if you do not manage managers yet.</w:t>
      </w:r>
    </w:p>
    <w:p>
      <w:pPr>
        <w:keepNext/>
        <w:spacing w:after="80" w:before="80" w:line="264" w:lineRule="auto"/>
      </w:pPr>
      <w:r>
        <w:rPr>
          <w:rFonts w:ascii="Montserrat" w:hAnsi="Montserrat" w:eastAsia="Montserrat"/>
          <w:b/>
          <w:i w:val="0"/>
          <w:color w:val="00806F"/>
          <w:sz w:val="22"/>
        </w:rPr>
        <w:t>The cascade check</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SECTION 1. MY SCALING READINESS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Score: ____ / 100</w:t>
      </w:r>
    </w:p>
    <w:p>
      <w:pPr>
        <w:tabs>
          <w:tab w:pos="1458" w:val="left"/>
          <w:tab w:pos="3596" w:val="left"/>
          <w:tab w:pos="5346"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Cascade ____</w:t>
      </w:r>
      <w:r>
        <w:rPr>
          <w:rFonts w:ascii="Arial" w:hAnsi="Arial" w:eastAsia="Arial"/>
          <w:b w:val="0"/>
          <w:i w:val="0"/>
          <w:color w:val="111318"/>
          <w:sz w:val="18"/>
        </w:rPr>
        <w:tab/>
      </w:r>
      <w:r>
        <w:rPr>
          <w:rFonts w:ascii="Arial" w:hAnsi="Arial" w:eastAsia="Arial"/>
          <w:b w:val="0"/>
          <w:i w:val="0"/>
          <w:color w:val="111318"/>
          <w:sz w:val="18"/>
        </w:rPr>
        <w:t>Accountability ____</w:t>
      </w:r>
      <w:r>
        <w:rPr>
          <w:rFonts w:ascii="Arial" w:hAnsi="Arial" w:eastAsia="Arial"/>
          <w:b w:val="0"/>
          <w:i w:val="0"/>
          <w:color w:val="111318"/>
          <w:sz w:val="18"/>
        </w:rPr>
        <w:tab/>
      </w:r>
      <w:r>
        <w:rPr>
          <w:rFonts w:ascii="Arial" w:hAnsi="Arial" w:eastAsia="Arial"/>
          <w:b w:val="0"/>
          <w:i w:val="0"/>
          <w:color w:val="111318"/>
          <w:sz w:val="18"/>
        </w:rPr>
        <w:t>Visibility ____</w:t>
      </w:r>
      <w:r>
        <w:rPr>
          <w:rFonts w:ascii="Arial" w:hAnsi="Arial" w:eastAsia="Arial"/>
          <w:b w:val="0"/>
          <w:i w:val="0"/>
          <w:color w:val="111318"/>
          <w:sz w:val="18"/>
        </w:rPr>
        <w:tab/>
      </w:r>
      <w:r>
        <w:rPr>
          <w:rFonts w:ascii="Arial" w:hAnsi="Arial" w:eastAsia="Arial"/>
          <w:b w:val="0"/>
          <w:i w:val="0"/>
          <w:color w:val="111318"/>
          <w:sz w:val="18"/>
        </w:rPr>
        <w:t>Restraint 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Lowest area: ______________</w:t>
      </w:r>
    </w:p>
    <w:p>
      <w:pPr>
        <w:tabs>
          <w:tab w:pos="4957"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(Optional, bottleneck test) My ceiling right now:</w:t>
      </w:r>
      <w:r>
        <w:rPr>
          <w:rFonts w:ascii="Arial" w:hAnsi="Arial" w:eastAsia="Arial"/>
          <w:b w:val="0"/>
          <w:i w:val="0"/>
          <w:color w:val="111318"/>
          <w:sz w:val="18"/>
        </w:rPr>
        <w:tab/>
      </w:r>
      <w:r>
        <w:rPr>
          <w:rFonts w:ascii="Arial" w:hAnsi="Arial" w:eastAsia="Arial"/>
          <w:b w:val="0"/>
          <w:i w:val="0"/>
          <w:color w:val="111318"/>
          <w:sz w:val="18"/>
        </w:rPr>
        <w:t>CALENDAR / TEAM / STRATEGY</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SECTION 2. IS IT</w:t>
      </w:r>
      <w:r>
        <w:rPr>
          <w:rFonts w:ascii="Arial" w:hAnsi="Arial" w:eastAsia="Arial"/>
          <w:b w:val="0"/>
          <w:i w:val="0"/>
          <w:color w:val="111318"/>
          <w:sz w:val="18"/>
        </w:rPr>
        <w:t xml:space="preserve"> CASCADING? (one line per manager; initials only)</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Ask each: "What did you hand off since we last met, and how did you set it up?"</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Initials | What they delegated | Framed as outcome or task? | Red flag</w:t>
      </w:r>
    </w:p>
    <w:p>
      <w:pPr>
        <w:tabs>
          <w:tab w:pos="5443" w:val="left"/>
          <w:tab w:pos="5832" w:val="left"/>
          <w:tab w:pos="6221" w:val="left"/>
          <w:tab w:pos="661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 ____ | ______________________ | OUTCOME / TASK | BM</w:t>
      </w:r>
      <w:r>
        <w:rPr>
          <w:rFonts w:ascii="Arial" w:hAnsi="Arial" w:eastAsia="Arial"/>
          <w:b w:val="0"/>
          <w:i w:val="0"/>
          <w:color w:val="111318"/>
          <w:sz w:val="18"/>
        </w:rPr>
        <w:tab/>
      </w:r>
      <w:r>
        <w:rPr>
          <w:rFonts w:ascii="Arial" w:hAnsi="Arial" w:eastAsia="Arial"/>
          <w:b w:val="0"/>
          <w:i w:val="0"/>
          <w:color w:val="111318"/>
          <w:sz w:val="18"/>
        </w:rPr>
        <w:t>RD</w:t>
      </w:r>
      <w:r>
        <w:rPr>
          <w:rFonts w:ascii="Arial" w:hAnsi="Arial" w:eastAsia="Arial"/>
          <w:b w:val="0"/>
          <w:i w:val="0"/>
          <w:color w:val="111318"/>
          <w:sz w:val="18"/>
        </w:rPr>
        <w:tab/>
      </w:r>
      <w:r>
        <w:rPr>
          <w:rFonts w:ascii="Arial" w:hAnsi="Arial" w:eastAsia="Arial"/>
          <w:b w:val="0"/>
          <w:i w:val="0"/>
          <w:color w:val="111318"/>
          <w:sz w:val="18"/>
        </w:rPr>
        <w:t>TD</w:t>
      </w:r>
      <w:r>
        <w:rPr>
          <w:rFonts w:ascii="Arial" w:hAnsi="Arial" w:eastAsia="Arial"/>
          <w:b w:val="0"/>
          <w:i w:val="0"/>
          <w:color w:val="111318"/>
          <w:sz w:val="18"/>
        </w:rPr>
        <w:tab/>
      </w:r>
      <w:r>
        <w:rPr>
          <w:rFonts w:ascii="Arial" w:hAnsi="Arial" w:eastAsia="Arial"/>
          <w:b w:val="0"/>
          <w:i w:val="0"/>
          <w:color w:val="111318"/>
          <w:sz w:val="18"/>
        </w:rPr>
        <w:t>PD</w:t>
      </w:r>
      <w:r>
        <w:rPr>
          <w:rFonts w:ascii="Arial" w:hAnsi="Arial" w:eastAsia="Arial"/>
          <w:b w:val="0"/>
          <w:i w:val="0"/>
          <w:color w:val="111318"/>
          <w:sz w:val="18"/>
        </w:rPr>
        <w:tab/>
      </w:r>
      <w:r>
        <w:rPr>
          <w:rFonts w:ascii="Arial" w:hAnsi="Arial" w:eastAsia="Arial"/>
          <w:b w:val="0"/>
          <w:i w:val="0"/>
          <w:color w:val="111318"/>
          <w:sz w:val="18"/>
        </w:rPr>
        <w:t>none</w:t>
      </w:r>
    </w:p>
    <w:p>
      <w:pPr>
        <w:tabs>
          <w:tab w:pos="5443" w:val="left"/>
          <w:tab w:pos="5832" w:val="left"/>
          <w:tab w:pos="6221" w:val="left"/>
          <w:tab w:pos="661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2. ____ | ______________________ | OUTCOME / TASK | BM</w:t>
      </w:r>
      <w:r>
        <w:rPr>
          <w:rFonts w:ascii="Arial" w:hAnsi="Arial" w:eastAsia="Arial"/>
          <w:b w:val="0"/>
          <w:i w:val="0"/>
          <w:color w:val="111318"/>
          <w:sz w:val="18"/>
        </w:rPr>
        <w:tab/>
      </w:r>
      <w:r>
        <w:rPr>
          <w:rFonts w:ascii="Arial" w:hAnsi="Arial" w:eastAsia="Arial"/>
          <w:b w:val="0"/>
          <w:i w:val="0"/>
          <w:color w:val="111318"/>
          <w:sz w:val="18"/>
        </w:rPr>
        <w:t>RD</w:t>
      </w:r>
      <w:r>
        <w:rPr>
          <w:rFonts w:ascii="Arial" w:hAnsi="Arial" w:eastAsia="Arial"/>
          <w:b w:val="0"/>
          <w:i w:val="0"/>
          <w:color w:val="111318"/>
          <w:sz w:val="18"/>
        </w:rPr>
        <w:tab/>
      </w:r>
      <w:r>
        <w:rPr>
          <w:rFonts w:ascii="Arial" w:hAnsi="Arial" w:eastAsia="Arial"/>
          <w:b w:val="0"/>
          <w:i w:val="0"/>
          <w:color w:val="111318"/>
          <w:sz w:val="18"/>
        </w:rPr>
        <w:t>TD</w:t>
      </w:r>
      <w:r>
        <w:rPr>
          <w:rFonts w:ascii="Arial" w:hAnsi="Arial" w:eastAsia="Arial"/>
          <w:b w:val="0"/>
          <w:i w:val="0"/>
          <w:color w:val="111318"/>
          <w:sz w:val="18"/>
        </w:rPr>
        <w:tab/>
      </w:r>
      <w:r>
        <w:rPr>
          <w:rFonts w:ascii="Arial" w:hAnsi="Arial" w:eastAsia="Arial"/>
          <w:b w:val="0"/>
          <w:i w:val="0"/>
          <w:color w:val="111318"/>
          <w:sz w:val="18"/>
        </w:rPr>
        <w:t>PD</w:t>
      </w:r>
      <w:r>
        <w:rPr>
          <w:rFonts w:ascii="Arial" w:hAnsi="Arial" w:eastAsia="Arial"/>
          <w:b w:val="0"/>
          <w:i w:val="0"/>
          <w:color w:val="111318"/>
          <w:sz w:val="18"/>
        </w:rPr>
        <w:tab/>
      </w:r>
      <w:r>
        <w:rPr>
          <w:rFonts w:ascii="Arial" w:hAnsi="Arial" w:eastAsia="Arial"/>
          <w:b w:val="0"/>
          <w:i w:val="0"/>
          <w:color w:val="111318"/>
          <w:sz w:val="18"/>
        </w:rPr>
        <w:t>none</w:t>
      </w:r>
    </w:p>
    <w:p>
      <w:pPr>
        <w:tabs>
          <w:tab w:pos="5443" w:val="left"/>
          <w:tab w:pos="5832" w:val="left"/>
          <w:tab w:pos="6221" w:val="left"/>
          <w:tab w:pos="6610"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3. ____ | ______________________ | OUTCOME / TASK | BM</w:t>
      </w:r>
      <w:r>
        <w:rPr>
          <w:rFonts w:ascii="Arial" w:hAnsi="Arial" w:eastAsia="Arial"/>
          <w:b w:val="0"/>
          <w:i w:val="0"/>
          <w:color w:val="111318"/>
          <w:sz w:val="18"/>
        </w:rPr>
        <w:tab/>
      </w:r>
      <w:r>
        <w:rPr>
          <w:rFonts w:ascii="Arial" w:hAnsi="Arial" w:eastAsia="Arial"/>
          <w:b w:val="0"/>
          <w:i w:val="0"/>
          <w:color w:val="111318"/>
          <w:sz w:val="18"/>
        </w:rPr>
        <w:t>RD</w:t>
      </w:r>
      <w:r>
        <w:rPr>
          <w:rFonts w:ascii="Arial" w:hAnsi="Arial" w:eastAsia="Arial"/>
          <w:b w:val="0"/>
          <w:i w:val="0"/>
          <w:color w:val="111318"/>
          <w:sz w:val="18"/>
        </w:rPr>
        <w:tab/>
      </w:r>
      <w:r>
        <w:rPr>
          <w:rFonts w:ascii="Arial" w:hAnsi="Arial" w:eastAsia="Arial"/>
          <w:b w:val="0"/>
          <w:i w:val="0"/>
          <w:color w:val="111318"/>
          <w:sz w:val="18"/>
        </w:rPr>
        <w:t>TD</w:t>
      </w:r>
      <w:r>
        <w:rPr>
          <w:rFonts w:ascii="Arial" w:hAnsi="Arial" w:eastAsia="Arial"/>
          <w:b w:val="0"/>
          <w:i w:val="0"/>
          <w:color w:val="111318"/>
          <w:sz w:val="18"/>
        </w:rPr>
        <w:tab/>
      </w:r>
      <w:r>
        <w:rPr>
          <w:rFonts w:ascii="Arial" w:hAnsi="Arial" w:eastAsia="Arial"/>
          <w:b w:val="0"/>
          <w:i w:val="0"/>
          <w:color w:val="111318"/>
          <w:sz w:val="18"/>
        </w:rPr>
        <w:t>PD</w:t>
      </w:r>
      <w:r>
        <w:rPr>
          <w:rFonts w:ascii="Arial" w:hAnsi="Arial" w:eastAsia="Arial"/>
          <w:b w:val="0"/>
          <w:i w:val="0"/>
          <w:color w:val="111318"/>
          <w:sz w:val="18"/>
        </w:rPr>
        <w:tab/>
      </w:r>
      <w:r>
        <w:rPr>
          <w:rFonts w:ascii="Arial" w:hAnsi="Arial" w:eastAsia="Arial"/>
          <w:b w:val="0"/>
          <w:i w:val="0"/>
          <w:color w:val="111318"/>
          <w:sz w:val="18"/>
        </w:rPr>
        <w:t>none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BM = Bottleneck Manager: nothing moves until it passes their desk.</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RD = Reverse Delegator: work handed down comes back up, and they accept it.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TD = Task Dumper: work handed out with no reason attached.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PD = Phantom Delegator: reported as handed over, still in their own head.</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Which of these am I?</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SECTION 3. ONE A</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Project: ____________________________________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R (does the work, can be several): 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 (owns the outcome, ONE name): 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C (input before, two way): 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 (told after, one way): ______________________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If I was tempted to write two names in A, the real owner is ____________ because 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What I will say to the person who is no longer the A:</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SECTION 4. ONE COACH CONVERSATION</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 problem a manager brought me that belongs to them: ______________________</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C</w:t>
      </w:r>
      <w:r>
        <w:rPr>
          <w:rFonts w:ascii="Arial" w:hAnsi="Arial" w:eastAsia="Arial"/>
          <w:b w:val="0"/>
          <w:i w:val="0"/>
          <w:color w:val="111318"/>
          <w:sz w:val="18"/>
        </w:rPr>
        <w:tab/>
      </w:r>
      <w:r>
        <w:rPr>
          <w:rFonts w:ascii="Arial" w:hAnsi="Arial" w:eastAsia="Arial"/>
          <w:b w:val="0"/>
          <w:i w:val="0"/>
          <w:color w:val="111318"/>
          <w:sz w:val="18"/>
        </w:rPr>
        <w:t>Concern. What's on your mind?</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O</w:t>
      </w:r>
      <w:r>
        <w:rPr>
          <w:rFonts w:ascii="Arial" w:hAnsi="Arial" w:eastAsia="Arial"/>
          <w:b w:val="0"/>
          <w:i w:val="0"/>
          <w:color w:val="111318"/>
          <w:sz w:val="18"/>
        </w:rPr>
        <w:tab/>
      </w:r>
      <w:r>
        <w:rPr>
          <w:rFonts w:ascii="Arial" w:hAnsi="Arial" w:eastAsia="Arial"/>
          <w:b w:val="0"/>
          <w:i w:val="0"/>
          <w:color w:val="111318"/>
          <w:sz w:val="18"/>
        </w:rPr>
        <w:t>Objective. What do you want to happen?</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A</w:t>
      </w:r>
      <w:r>
        <w:rPr>
          <w:rFonts w:ascii="Arial" w:hAnsi="Arial" w:eastAsia="Arial"/>
          <w:b w:val="0"/>
          <w:i w:val="0"/>
          <w:color w:val="111318"/>
          <w:sz w:val="18"/>
        </w:rPr>
        <w:tab/>
      </w:r>
      <w:r>
        <w:rPr>
          <w:rFonts w:ascii="Arial" w:hAnsi="Arial" w:eastAsia="Arial"/>
          <w:b w:val="0"/>
          <w:i w:val="0"/>
          <w:color w:val="111318"/>
          <w:sz w:val="18"/>
        </w:rPr>
        <w:t>Actions. What actions can you take?</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C</w:t>
      </w:r>
      <w:r>
        <w:rPr>
          <w:rFonts w:ascii="Arial" w:hAnsi="Arial" w:eastAsia="Arial"/>
          <w:b w:val="0"/>
          <w:i w:val="0"/>
          <w:color w:val="111318"/>
          <w:sz w:val="18"/>
        </w:rPr>
        <w:tab/>
      </w:r>
      <w:r>
        <w:rPr>
          <w:rFonts w:ascii="Arial" w:hAnsi="Arial" w:eastAsia="Arial"/>
          <w:b w:val="0"/>
          <w:i w:val="0"/>
          <w:color w:val="111318"/>
          <w:sz w:val="18"/>
        </w:rPr>
        <w:t>Commitment. What will you commit to doing?</w:t>
      </w:r>
    </w:p>
    <w:p>
      <w:pPr>
        <w:tabs>
          <w:tab w:pos="29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H</w:t>
      </w:r>
      <w:r>
        <w:rPr>
          <w:rFonts w:ascii="Arial" w:hAnsi="Arial" w:eastAsia="Arial"/>
          <w:b w:val="0"/>
          <w:i w:val="0"/>
          <w:color w:val="111318"/>
          <w:sz w:val="18"/>
        </w:rPr>
        <w:tab/>
      </w:r>
      <w:r>
        <w:rPr>
          <w:rFonts w:ascii="Arial" w:hAnsi="Arial" w:eastAsia="Arial"/>
          <w:b w:val="0"/>
          <w:i w:val="0"/>
          <w:color w:val="111318"/>
          <w:sz w:val="18"/>
        </w:rPr>
        <w:t>Help. What do you need to succeed?</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Where I am most tempted to give the answer instead of asking:</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Who holds the next action when we finish (it should not be me): 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SECTION 5. SKIP LEVEL QUESTIONS</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Open with: "I am not here to check up on your manager. I want to hear how the work looks from where you sit."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 What are you the owner of at the moment?</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2. Which decisions can you make without asking anyone?</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3. Tell me about the last call you made on your own.</w:t>
      </w:r>
    </w:p>
    <w:p>
      <w:pPr>
        <w:tabs>
          <w:tab w:pos="4568"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I will ask: ______________ (two levels down)</w:t>
      </w:r>
      <w:r>
        <w:rPr>
          <w:rFonts w:ascii="Arial" w:hAnsi="Arial" w:eastAsia="Arial"/>
          <w:b w:val="0"/>
          <w:i w:val="0"/>
          <w:color w:val="111318"/>
          <w:sz w:val="18"/>
        </w:rPr>
        <w:tab/>
      </w:r>
      <w:r>
        <w:rPr>
          <w:rFonts w:ascii="Arial" w:hAnsi="Arial" w:eastAsia="Arial"/>
          <w:b w:val="0"/>
          <w:i w:val="0"/>
          <w:color w:val="111318"/>
          <w:sz w:val="18"/>
        </w:rPr>
        <w:t>By: 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r>
    </w:p>
    <w:p>
      <w:pPr>
        <w:spacing w:before="4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i w:val="0"/>
          <w:color w:val="111318"/>
          <w:sz w:val="18"/>
        </w:rPr>
        <w:t>SECTION 6. VALLEY OF DEATH CHECK</w:t>
      </w:r>
    </w:p>
    <w:p>
      <w:pPr>
        <w:spacing w:before="0" w:after="0" w:line="312" w:lineRule="auto"/>
        <w:ind w:left="173" w:right="173"/>
        <w:keepNext/>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Decisions still coming to me that belong a level down:</w:t>
      </w:r>
    </w:p>
    <w:p>
      <w:pPr>
        <w:tabs>
          <w:tab w:pos="272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1. ______________________</w:t>
      </w:r>
      <w:r>
        <w:rPr>
          <w:rFonts w:ascii="Arial" w:hAnsi="Arial" w:eastAsia="Arial"/>
          <w:b w:val="0"/>
          <w:i w:val="0"/>
          <w:color w:val="111318"/>
          <w:sz w:val="18"/>
        </w:rPr>
        <w:tab/>
      </w:r>
      <w:r>
        <w:rPr>
          <w:rFonts w:ascii="Arial" w:hAnsi="Arial" w:eastAsia="Arial"/>
          <w:b w:val="0"/>
          <w:i w:val="0"/>
          <w:color w:val="111318"/>
          <w:sz w:val="18"/>
        </w:rPr>
        <w:t>should be owned by: ______________</w:t>
      </w:r>
    </w:p>
    <w:p>
      <w:pPr>
        <w:tabs>
          <w:tab w:pos="272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2. ______________________</w:t>
      </w:r>
      <w:r>
        <w:rPr>
          <w:rFonts w:ascii="Arial" w:hAnsi="Arial" w:eastAsia="Arial"/>
          <w:b w:val="0"/>
          <w:i w:val="0"/>
          <w:color w:val="111318"/>
          <w:sz w:val="18"/>
        </w:rPr>
        <w:tab/>
      </w:r>
      <w:r>
        <w:rPr>
          <w:rFonts w:ascii="Arial" w:hAnsi="Arial" w:eastAsia="Arial"/>
          <w:b w:val="0"/>
          <w:i w:val="0"/>
          <w:color w:val="111318"/>
          <w:sz w:val="18"/>
        </w:rPr>
        <w:t>should be owned by: ______________</w:t>
      </w:r>
    </w:p>
    <w:p>
      <w:pPr>
        <w:tabs>
          <w:tab w:pos="2722" w:val="left"/>
        </w:tabs>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3. ______________________</w:t>
      </w:r>
      <w:r>
        <w:rPr>
          <w:rFonts w:ascii="Arial" w:hAnsi="Arial" w:eastAsia="Arial"/>
          <w:b w:val="0"/>
          <w:i w:val="0"/>
          <w:color w:val="111318"/>
          <w:sz w:val="18"/>
        </w:rPr>
        <w:tab/>
      </w:r>
      <w:r>
        <w:rPr>
          <w:rFonts w:ascii="Arial" w:hAnsi="Arial" w:eastAsia="Arial"/>
          <w:b w:val="0"/>
          <w:i w:val="0"/>
          <w:color w:val="111318"/>
          <w:sz w:val="18"/>
        </w:rPr>
        <w:t>should be owned by: ______________</w:t>
      </w:r>
    </w:p>
    <w:p>
      <w:pPr>
        <w:spacing w:before="0" w:after="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val="0"/>
          <w:color w:val="111318"/>
          <w:sz w:val="18"/>
        </w:rPr>
        <w:t>The first one I will stop making: ______________</w:t>
      </w:r>
    </w:p>
    <w:p>
      <w:pPr>
        <w:spacing w:before="0" w:after="200" w:line="312" w:lineRule="auto"/>
        <w:ind w:left="173" w:right="173"/>
        <w:pBdr>
          <w:top w:val="single" w:sz="4" w:space="8" w:color="E3E1DC"/>
          <w:left w:val="single" w:sz="4" w:space="8" w:color="E3E1DC"/>
          <w:bottom w:val="single" w:sz="4" w:space="8" w:color="E3E1DC"/>
          <w:right w:val="single" w:sz="4" w:space="8" w:color="E3E1DC"/>
        </w:pBdr>
        <w:shd w:val="clear" w:color="auto" w:fill="FAF9F7"/>
      </w:pPr>
      <w:r>
        <w:rPr>
          <w:rFonts w:ascii="Arial" w:hAnsi="Arial" w:eastAsia="Arial"/>
          <w:b w:val="0"/>
          <w:i/>
          <w:color w:val="5B616E"/>
          <w:sz w:val="16"/>
        </w:rPr>
        <w:t>Teaching scaling leadership: a session plan. Andreas Pettersson, Leaders ADAPT. Free to use under CC BY 4.0. leadersadapt.com/teach-scaling-leadership/</w:t>
      </w:r>
    </w:p>
    <w:p>
      <w:pPr>
        <w:keepNext/>
        <w:spacing w:after="100" w:before="320" w:line="264" w:lineRule="auto"/>
      </w:pPr>
      <w:r>
        <w:rPr>
          <w:rFonts w:ascii="Montserrat" w:hAnsi="Montserrat" w:eastAsia="Montserrat"/>
          <w:b/>
          <w:i w:val="0"/>
          <w:color w:val="111318"/>
          <w:sz w:val="28"/>
        </w:rPr>
        <w:t>Discussion questions</w:t>
      </w:r>
    </w:p>
    <w:p>
      <w:pPr>
        <w:tabs>
          <w:tab w:pos="432" w:val="left"/>
        </w:tabs>
        <w:spacing w:after="80" w:before="0" w:line="312" w:lineRule="auto"/>
        <w:ind w:left="432" w:hanging="432"/>
      </w:pPr>
      <w:r>
        <w:rPr>
          <w:rFonts w:ascii="Arial" w:hAnsi="Arial" w:eastAsia="Arial"/>
          <w:b/>
          <w:i w:val="0"/>
          <w:color w:val="00806F"/>
          <w:sz w:val="21"/>
        </w:rPr>
        <w:t>1.</w:t>
        <w:tab/>
      </w:r>
      <w:r>
        <w:rPr>
          <w:rFonts w:ascii="Arial" w:hAnsi="Arial" w:eastAsia="Arial"/>
          <w:b w:val="0"/>
          <w:i w:val="0"/>
          <w:color w:val="111318"/>
          <w:sz w:val="21"/>
        </w:rPr>
        <w:t>Which of the four red flags does each of Ana, Luis and Priya show? Which one does Tomas show?</w:t>
      </w:r>
    </w:p>
    <w:p>
      <w:pPr>
        <w:tabs>
          <w:tab w:pos="432" w:val="left"/>
        </w:tabs>
        <w:spacing w:after="80" w:before="0" w:line="312" w:lineRule="auto"/>
        <w:ind w:left="432" w:hanging="432"/>
      </w:pPr>
      <w:r>
        <w:rPr>
          <w:rFonts w:ascii="Arial" w:hAnsi="Arial" w:eastAsia="Arial"/>
          <w:b/>
          <w:i w:val="0"/>
          <w:color w:val="00806F"/>
          <w:sz w:val="21"/>
        </w:rPr>
        <w:t>2.</w:t>
        <w:tab/>
      </w:r>
      <w:r>
        <w:rPr>
          <w:rFonts w:ascii="Arial" w:hAnsi="Arial" w:eastAsia="Arial"/>
          <w:b w:val="0"/>
          <w:i w:val="0"/>
          <w:color w:val="111318"/>
          <w:sz w:val="21"/>
        </w:rPr>
        <w:t>Luis sends every large discount up to Tomas, and Tomas approves it. Run the COACH conversation Tomas should have had with Luis instead. At which step would Tomas be most tempted to give the answer?</w:t>
      </w:r>
    </w:p>
    <w:p>
      <w:pPr>
        <w:tabs>
          <w:tab w:pos="432" w:val="left"/>
        </w:tabs>
        <w:spacing w:after="80" w:before="0" w:line="312" w:lineRule="auto"/>
        <w:ind w:left="432" w:hanging="432"/>
      </w:pPr>
      <w:r>
        <w:rPr>
          <w:rFonts w:ascii="Arial" w:hAnsi="Arial" w:eastAsia="Arial"/>
          <w:b/>
          <w:i w:val="0"/>
          <w:color w:val="00806F"/>
          <w:sz w:val="21"/>
        </w:rPr>
        <w:t>3.</w:t>
        <w:tab/>
      </w:r>
      <w:r>
        <w:rPr>
          <w:rFonts w:ascii="Arial" w:hAnsi="Arial" w:eastAsia="Arial"/>
          <w:b w:val="0"/>
          <w:i w:val="0"/>
          <w:color w:val="111318"/>
          <w:sz w:val="21"/>
        </w:rPr>
        <w:t>The board wants a chief operating officer. Would that fix it? What would a new COO find in their first month?</w:t>
      </w:r>
    </w:p>
    <w:p>
      <w:pPr>
        <w:tabs>
          <w:tab w:pos="432" w:val="left"/>
        </w:tabs>
        <w:spacing w:after="80" w:before="0" w:line="312" w:lineRule="auto"/>
        <w:ind w:left="432" w:hanging="432"/>
      </w:pPr>
      <w:r>
        <w:rPr>
          <w:rFonts w:ascii="Arial" w:hAnsi="Arial" w:eastAsia="Arial"/>
          <w:b/>
          <w:i w:val="0"/>
          <w:color w:val="00806F"/>
          <w:sz w:val="21"/>
        </w:rPr>
        <w:t>4.</w:t>
        <w:tab/>
      </w:r>
      <w:r>
        <w:rPr>
          <w:rFonts w:ascii="Arial" w:hAnsi="Arial" w:eastAsia="Arial"/>
          <w:b w:val="0"/>
          <w:i w:val="0"/>
          <w:color w:val="111318"/>
          <w:sz w:val="21"/>
        </w:rPr>
        <w:t>Rewrite the grocery launch as a RACI with one A. Who should it be, and what does the other director lose?</w:t>
      </w:r>
    </w:p>
    <w:p>
      <w:pPr>
        <w:tabs>
          <w:tab w:pos="432" w:val="left"/>
        </w:tabs>
        <w:spacing w:after="80" w:before="0" w:line="312" w:lineRule="auto"/>
        <w:ind w:left="432" w:hanging="432"/>
      </w:pPr>
      <w:r>
        <w:rPr>
          <w:rFonts w:ascii="Arial" w:hAnsi="Arial" w:eastAsia="Arial"/>
          <w:b/>
          <w:i w:val="0"/>
          <w:color w:val="00806F"/>
          <w:sz w:val="21"/>
        </w:rPr>
        <w:t>5.</w:t>
        <w:tab/>
      </w:r>
      <w:r>
        <w:rPr>
          <w:rFonts w:ascii="Arial" w:hAnsi="Arial" w:eastAsia="Arial"/>
          <w:b w:val="0"/>
          <w:i w:val="0"/>
          <w:color w:val="111318"/>
          <w:sz w:val="21"/>
        </w:rPr>
        <w:t>Is Harbourline in the Valley of Death? Which decisions would have to move, and to whom, for the directors to be leverage rather than cost?</w:t>
      </w:r>
    </w:p>
    <w:p>
      <w:pPr>
        <w:tabs>
          <w:tab w:pos="432" w:val="left"/>
        </w:tabs>
        <w:spacing w:after="80" w:before="0" w:line="312" w:lineRule="auto"/>
        <w:ind w:left="432" w:hanging="432"/>
      </w:pPr>
      <w:r>
        <w:rPr>
          <w:rFonts w:ascii="Arial" w:hAnsi="Arial" w:eastAsia="Arial"/>
          <w:b/>
          <w:i w:val="0"/>
          <w:color w:val="00806F"/>
          <w:sz w:val="21"/>
        </w:rPr>
        <w:t>6.</w:t>
        <w:tab/>
      </w:r>
      <w:r>
        <w:rPr>
          <w:rFonts w:ascii="Arial" w:hAnsi="Arial" w:eastAsia="Arial"/>
          <w:b w:val="0"/>
          <w:i w:val="0"/>
          <w:color w:val="111318"/>
          <w:sz w:val="21"/>
        </w:rPr>
        <w:t>Imagine asking Harbourline's shift leads the three skip level questions. What answers do you expect, and what would each answer tell Tomas?</w:t>
      </w:r>
    </w:p>
    <w:p>
      <w:pPr>
        <w:tabs>
          <w:tab w:pos="432" w:val="left"/>
        </w:tabs>
        <w:spacing w:after="80" w:before="0" w:line="312" w:lineRule="auto"/>
        <w:ind w:left="432" w:hanging="432"/>
      </w:pPr>
      <w:r>
        <w:rPr>
          <w:rFonts w:ascii="Arial" w:hAnsi="Arial" w:eastAsia="Arial"/>
          <w:b/>
          <w:i w:val="0"/>
          <w:color w:val="00806F"/>
          <w:sz w:val="21"/>
        </w:rPr>
        <w:t>7.</w:t>
        <w:tab/>
      </w:r>
      <w:r>
        <w:rPr>
          <w:rFonts w:ascii="Arial" w:hAnsi="Arial" w:eastAsia="Arial"/>
          <w:b w:val="0"/>
          <w:i w:val="0"/>
          <w:color w:val="111318"/>
          <w:sz w:val="21"/>
        </w:rPr>
        <w:t>Every scaling system, EOS and Scaling Up included, comes down to three things: a clear strategy, a meeting rhythm, and clear roles and authority. Which of the three is Harbourline missing first?</w:t>
      </w:r>
    </w:p>
    <w:p>
      <w:pPr>
        <w:keepNext/>
        <w:spacing w:after="100" w:before="320" w:line="264" w:lineRule="auto"/>
      </w:pPr>
      <w:r>
        <w:rPr>
          <w:rFonts w:ascii="Montserrat" w:hAnsi="Montserrat" w:eastAsia="Montserrat"/>
          <w:b/>
          <w:i w:val="0"/>
          <w:color w:val="111318"/>
          <w:sz w:val="28"/>
        </w:rPr>
        <w:t>Facilitator notes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The most common trap is two names in A "because both of them really own it." Hold the line every time: two owners means no owner. The question that settles it is "If this fails, who gets the call at seven in the morning?" If the answer is two people, the answer is really nobody.</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The red flags describe habits, not people. Say so before Section 2, and ask for initials only, never names, especially in an in-company session. The most useful finding of the day is usually a leader recognising themselves as the Bottleneck Manager, so ask "Which of these am I?" before anyone fills in a row about someone else.</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Mixed rooms: students and first line managers work Sections 2 to 6 on Harbourline and do Section 1 from the test only. People who run managers work their own team. Pair one of each in the RACI exercise; the student usually asks the sharper question.</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Skip level questions without an opening line feel like surveillance and damage the manager in between. Make people copy the opener into Section 5 word for word: "I am not here to check up on your manager. I want to hear how the work looks from where you sit."</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The scaling readiness and bottleneck tests ask for a name and email before they show results. Tell people before they start. Anyone who prefers not to can read the twelve statements on the test page and self score: count how many are true in each of the four areas.</w:t>
      </w:r>
    </w:p>
    <w:p>
      <w:pPr>
        <w:tabs>
          <w:tab w:pos="432" w:val="left"/>
        </w:tabs>
        <w:spacing w:after="80" w:before="0" w:line="312" w:lineRule="auto"/>
        <w:ind w:left="432" w:hanging="432"/>
      </w:pPr>
      <w:r>
        <w:rPr>
          <w:rFonts w:ascii="Arial" w:hAnsi="Arial" w:eastAsia="Arial"/>
          <w:b/>
          <w:i w:val="0"/>
          <w:color w:val="00BFA5"/>
          <w:sz w:val="16"/>
        </w:rPr>
        <w:t>◆</w:t>
        <w:tab/>
      </w:r>
      <w:r>
        <w:rPr>
          <w:rFonts w:ascii="Arial" w:hAnsi="Arial" w:eastAsia="Arial"/>
          <w:b w:val="0"/>
          <w:i w:val="0"/>
          <w:color w:val="111318"/>
          <w:sz w:val="21"/>
        </w:rPr>
        <w:t>If nobody volunteers in the debrief, ask each table for the red flag they saw most often in the case rather than in themselves. Once the case is on the table, people usually volunteer their own version.</w:t>
      </w:r>
    </w:p>
    <w:p>
      <w:pPr>
        <w:keepNext/>
        <w:spacing w:after="40" w:before="200" w:line="240" w:lineRule="auto"/>
      </w:pP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Montserrat" w:hAnsi="Montserrat" w:eastAsia="Montserrat"/>
          <w:b/>
          <w:i w:val="0"/>
          <w:color w:val="111318"/>
          <w:sz w:val="24"/>
        </w:rPr>
        <w:t>Want the whole system? The 5-Minute Leader</w:t>
      </w:r>
    </w:p>
    <w:p>
      <w:pPr>
        <w:keepNext/>
        <w:spacing w:after="10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val="0"/>
          <w:i w:val="0"/>
          <w:color w:val="111318"/>
          <w:sz w:val="20"/>
        </w:rPr>
        <w:t>This page teaches cascade delegation, the one A rule and the four red flags at classroom depth, enough to run one strong session. The complete, step by step version of leading through managers is Part 2 of The 5-Minute Leader, The Scaling System, built on the four Part 1 protocols it extends.</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Delegation Board: how to make every owner and authority level visible across the leadership team, and the short weekly review that runs it</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How to adapt a handoff to four personality types, so your managers stop delegating the same way to everyone</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Energy/Capability Matrix and a structure for skip level conversations, for reading an organization you can no longer see yourself</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Accountability Ladder and all six accountability conversations leaders avoid, for teams that hold each other to the standard</w:t>
      </w:r>
    </w:p>
    <w:p>
      <w:pPr>
        <w:keepNext/>
        <w:tabs>
          <w:tab w:pos="547" w:val="left"/>
        </w:tabs>
        <w:spacing w:after="60" w:before="0" w:line="312" w:lineRule="auto"/>
        <w:ind w:left="173" w:right="173"/>
        <w:pBdr>
          <w:top w:val="single" w:sz="4" w:space="8" w:color="E3E1DC"/>
          <w:left w:val="single" w:sz="4" w:space="8" w:color="E3E1DC"/>
          <w:bottom w:val="single" w:sz="4" w:space="8" w:color="E3E1DC"/>
          <w:right w:val="single" w:sz="4" w:space="8" w:color="E3E1DC"/>
        </w:pBdr>
      </w:pPr>
      <w:r>
        <w:rPr>
          <w:rFonts w:ascii="Arial" w:hAnsi="Arial" w:eastAsia="Arial"/>
          <w:b/>
          <w:i w:val="0"/>
          <w:color w:val="00BFA5"/>
          <w:sz w:val="15"/>
        </w:rPr>
        <w:t>◆</w:t>
        <w:tab/>
      </w:r>
      <w:r>
        <w:rPr>
          <w:rFonts w:ascii="Arial" w:hAnsi="Arial" w:eastAsia="Arial"/>
          <w:b w:val="0"/>
          <w:i w:val="0"/>
          <w:color w:val="111318"/>
          <w:sz w:val="20"/>
        </w:rPr>
        <w:t>The rhythm for scale: a monthly scorecard, a quarterly offsite, a plan for keeping the rhythm in a crisis, and a twelve week order for installing it all</w:t>
      </w:r>
    </w:p>
    <w:p>
      <w:pPr>
        <w:spacing w:after="0" w:before="60" w:line="312" w:lineRule="auto"/>
        <w:ind w:left="173" w:right="173"/>
        <w:pBdr>
          <w:top w:val="single" w:sz="4" w:space="8" w:color="E3E1DC"/>
          <w:left w:val="single" w:sz="4" w:space="8" w:color="E3E1DC"/>
          <w:bottom w:val="single" w:sz="4" w:space="8" w:color="E3E1DC"/>
          <w:right w:val="single" w:sz="4" w:space="8" w:color="E3E1DC"/>
        </w:pBdr>
      </w:pPr>
      <w:hyperlink r:id="rId13">
        <w:r>
          <w:rPr>
            <w:rFonts w:ascii="Arial" w:hAnsi="Arial"/>
            <w:b/>
            <w:color w:val="00806F"/>
            <w:u w:val="single"/>
            <w:sz w:val="20"/>
          </w:rPr>
          <w:t xml:space="preserve">5minleader.leadersadapt.com/5ml</w:t>
        </w:r>
      </w:hyperlink>
    </w:p>
    <w:p>
      <w:pPr>
        <w:keepNext/>
        <w:spacing w:after="100" w:before="320" w:line="264" w:lineRule="auto"/>
      </w:pPr>
      <w:r>
        <w:rPr>
          <w:rFonts w:ascii="Montserrat" w:hAnsi="Montserrat" w:eastAsia="Montserrat"/>
          <w:b/>
          <w:i w:val="0"/>
          <w:color w:val="111318"/>
          <w:sz w:val="28"/>
        </w:rPr>
        <w:t>Use, adapt and cite</w:t>
      </w:r>
    </w:p>
    <w:p>
      <w:pPr>
        <w:spacing w:after="120" w:before="0" w:line="324" w:lineRule="auto"/>
      </w:pPr>
      <w:r>
        <w:rPr>
          <w:rFonts w:ascii="Arial" w:hAnsi="Arial" w:eastAsia="Arial"/>
          <w:b w:val="0"/>
          <w:i w:val="0"/>
          <w:color w:val="111318"/>
          <w:sz w:val="21"/>
        </w:rPr>
        <w:t xml:space="preserve">Free to use under Creative Commons Attribution 4.0 (CC BY 4.0): </w:t>
      </w:r>
      <w:hyperlink r:id="rId14">
        <w:r>
          <w:rPr>
            <w:rFonts w:ascii="Arial" w:hAnsi="Arial"/>
            <w:color w:val="00806F"/>
            <w:u w:val="single"/>
            <w:sz w:val="21"/>
          </w:rPr>
          <w:t xml:space="preserve">creativecommons.org/licenses/by/4.0</w:t>
        </w:r>
      </w:hyperlink>
      <w:r>
        <w:rPr>
          <w:rFonts w:ascii="Arial" w:hAnsi="Arial" w:eastAsia="Arial"/>
          <w:b w:val="0"/>
          <w:i w:val="0"/>
          <w:color w:val="111318"/>
          <w:sz w:val="21"/>
        </w:rPr>
        <w:t>. You may copy, print, adapt and share it in any course, workshop or internal training, including paid ones, as long as you credit the source with a link.</w:t>
      </w:r>
    </w:p>
    <w:p>
      <w:pPr>
        <w:keepNext/>
        <w:spacing w:after="60" w:before="0" w:line="300" w:lineRule="auto"/>
      </w:pPr>
      <w:r>
        <w:rPr>
          <w:rFonts w:ascii="Arial" w:hAnsi="Arial" w:eastAsia="Arial"/>
          <w:b/>
          <w:i w:val="0"/>
          <w:color w:val="111318"/>
          <w:sz w:val="21"/>
        </w:rPr>
        <w:t>Suggested citation</w:t>
      </w:r>
    </w:p>
    <w:p>
      <w:pPr>
        <w:spacing w:after="120" w:before="0" w:line="324" w:lineRule="auto"/>
      </w:pPr>
      <w:r>
        <w:rPr>
          <w:rFonts w:ascii="Arial" w:hAnsi="Arial" w:eastAsia="Arial"/>
          <w:b w:val="0"/>
          <w:i w:val="0"/>
          <w:color w:val="111318"/>
          <w:sz w:val="21"/>
        </w:rPr>
        <w:t xml:space="preserve">Pettersson, A. (2026). Teaching scaling leadership: a session plan. Leaders ADAPT. </w:t>
      </w:r>
      <w:hyperlink r:id="rId15">
        <w:r>
          <w:rPr>
            <w:rFonts w:ascii="Arial" w:hAnsi="Arial"/>
            <w:color w:val="00806F"/>
            <w:u w:val="single"/>
            <w:sz w:val="21"/>
          </w:rPr>
          <w:t xml:space="preserve">https://www.leadersadapt.com/teach-scaling-leadership/</w:t>
        </w:r>
      </w:hyperlink>
    </w:p>
    <w:p>
      <w:pPr>
        <w:spacing w:after="0" w:before="0" w:line="324" w:lineRule="auto"/>
      </w:pPr>
      <w:r>
        <w:rPr>
          <w:rFonts w:ascii="Arial" w:hAnsi="Arial" w:eastAsia="Arial"/>
          <w:b/>
          <w:i w:val="0"/>
          <w:color w:val="111318"/>
          <w:sz w:val="21"/>
        </w:rPr>
        <w:t xml:space="preserve">Package page: </w:t>
      </w:r>
      <w:hyperlink r:id="rId15">
        <w:r>
          <w:rPr>
            <w:rFonts w:ascii="Arial" w:hAnsi="Arial"/>
            <w:color w:val="00806F"/>
            <w:u w:val="single"/>
            <w:sz w:val="21"/>
          </w:rPr>
          <w:t xml:space="preserve">leadersadapt.com/teach-scaling-leadership/</w:t>
        </w:r>
      </w:hyperlink>
    </w:p>
    <w:sectPr w:rsidR="00FC693F" w:rsidRPr="0006063C" w:rsidSect="00034616">
      <w:headerReference w:type="default" r:id="rId9"/>
      <w:footerReference w:type="default" r:id="rId10"/>
      <w:footerReference w:type="first" r:id="rId11"/>
      <w:pgSz w:w="12240" w:h="15840"/>
      <w:pgMar w:top="1296" w:right="1224" w:bottom="1152" w:left="1224"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leadersadapt.com/teach-scaling-leadership/</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6" w:space="4" w:color="E3E1DC"/>
      </w:pBdr>
      <w:spacing w:after="0"/>
    </w:pPr>
  </w:p>
  <w:p>
    <w:pPr>
      <w:tabs>
        <w:tab w:pos="9792" w:val="right"/>
      </w:tabs>
    </w:pPr>
    <w:r>
      <w:rPr>
        <w:rFonts w:ascii="Arial" w:hAnsi="Arial" w:eastAsia="Arial"/>
        <w:b/>
        <w:i w:val="0"/>
        <w:color w:val="111318"/>
        <w:sz w:val="17"/>
      </w:rPr>
      <w:t xml:space="preserve">Leaders ADAPT  |  </w:t>
    </w:r>
    <w:hyperlink r:id="rId1">
      <w:r>
        <w:rPr>
          <w:rFonts w:ascii="Arial" w:hAnsi="Arial"/>
          <w:color w:val="5B616E"/>
          <w:u w:val="single"/>
          <w:sz w:val="17"/>
        </w:rPr>
        <w:t xml:space="preserve">leadersadapt.com/teach-scaling-leadership/</w:t>
      </w:r>
    </w:hyperlink>
    <w:r>
      <w:rPr>
        <w:rFonts w:ascii="Arial" w:hAnsi="Arial" w:eastAsia="Arial"/>
        <w:b w:val="0"/>
        <w:i w:val="0"/>
        <w:color w:val="5B616E"/>
        <w:sz w:val="17"/>
      </w:rPr>
      <w:tab/>
      <w:t xml:space="preserve">Page </w:t>
    </w:r>
    <w:r>
      <w:rPr>
        <w:rFonts w:ascii="Arial" w:hAnsi="Arial"/>
        <w:color w:val="5B616E"/>
        <w:sz w:val="17"/>
      </w:rPr>
      <w:fldChar w:fldCharType="begin"/>
    </w:r>
    <w:r>
      <w:rPr>
        <w:rFonts w:ascii="Arial" w:hAnsi="Arial"/>
        <w:color w:val="5B616E"/>
        <w:sz w:val="17"/>
      </w:rPr>
      <w:instrText xml:space="preserve">PAGE</w:instrText>
    </w:r>
    <w:r>
      <w:rPr>
        <w:rFonts w:ascii="Arial" w:hAnsi="Arial"/>
        <w:color w:val="5B616E"/>
        <w:sz w:val="17"/>
      </w:rPr>
      <w:fldChar w:fldCharType="separate"/>
    </w:r>
    <w:r>
      <w:rPr>
        <w:rFonts w:ascii="Arial" w:hAnsi="Arial"/>
        <w:color w:val="5B616E"/>
        <w:sz w:val="17"/>
      </w:rPr>
      <w:t>1</w:t>
    </w:r>
    <w:r>
      <w:rPr>
        <w:rFonts w:ascii="Arial" w:hAnsi="Arial"/>
        <w:color w:val="5B616E"/>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E3E1DC"/>
      </w:pBdr>
    </w:pPr>
  </w:p>
  <w:tbl>
    <w:tblPr>
      <w:tblW w:type="auto" w:w="0"/>
      <w:tblLook w:firstColumn="1" w:firstRow="1" w:lastColumn="0" w:lastRow="0" w:noHBand="0" w:noVBand="1" w:val="04A0"/>
      <w:tblBorders>
        <w:top w:val="nil"/>
        <w:left w:val="nil"/>
        <w:bottom w:val="nil"/>
        <w:right w:val="nil"/>
        <w:insideH w:val="nil"/>
        <w:insideV w:val="nil"/>
      </w:tblBorders>
    </w:tblPr>
    <w:tblGrid>
      <w:gridCol w:w="4896"/>
      <w:gridCol w:w="4896"/>
    </w:tblGrid>
    <w:tr>
      <w:tc>
        <w:tcPr>
          <w:tcW w:type="dxa" w:w="4320"/>
        </w:tcPr>
        <w:p>
          <w:r>
            <w:drawing>
              <wp:inline xmlns:a="http://schemas.openxmlformats.org/drawingml/2006/main" xmlns:pic="http://schemas.openxmlformats.org/drawingml/2006/picture">
                <wp:extent cx="1143000" cy="359229"/>
                <wp:docPr id="1" name="Picture 1"/>
                <wp:cNvGraphicFramePr>
                  <a:graphicFrameLocks noChangeAspect="1"/>
                </wp:cNvGraphicFramePr>
                <a:graphic>
                  <a:graphicData uri="http://schemas.openxmlformats.org/drawingml/2006/picture">
                    <pic:pic>
                      <pic:nvPicPr>
                        <pic:cNvPr id="0" name="ink.png"/>
                        <pic:cNvPicPr/>
                      </pic:nvPicPr>
                      <pic:blipFill>
                        <a:blip r:embed="rId1"/>
                        <a:stretch>
                          <a:fillRect/>
                        </a:stretch>
                      </pic:blipFill>
                      <pic:spPr>
                        <a:xfrm>
                          <a:off x="0" y="0"/>
                          <a:ext cx="1143000" cy="359229"/>
                        </a:xfrm>
                        <a:prstGeom prst="rect"/>
                      </pic:spPr>
                    </pic:pic>
                  </a:graphicData>
                </a:graphic>
              </wp:inline>
            </w:drawing>
          </w:r>
        </w:p>
      </w:tc>
      <w:tc>
        <w:tcPr>
          <w:tcW w:type="dxa" w:w="5472"/>
        </w:tcPr>
        <w:p>
          <w:pPr>
            <w:jc w:val="right"/>
          </w:pPr>
          <w:r>
            <w:rPr>
              <w:rFonts w:ascii="Arial" w:hAnsi="Arial" w:eastAsia="Arial"/>
              <w:b w:val="0"/>
              <w:i w:val="0"/>
              <w:color w:val="5B616E"/>
              <w:sz w:val="17"/>
            </w:rPr>
            <w:t>Teaching package  |  CC BY 4.0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113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5minleader.leadersadapt.com/5ml?utm_source=teaching-package&amp;utm_medium=docx&amp;utm_campaign=teach-scaling-leadership" TargetMode="External"/><Relationship Id="rId14" Type="http://schemas.openxmlformats.org/officeDocument/2006/relationships/hyperlink" Target="https://creativecommons.org/licenses/by/4.0/" TargetMode="External"/><Relationship Id="rId15" Type="http://schemas.openxmlformats.org/officeDocument/2006/relationships/hyperlink" Target="https://www.leadersadapt.com/teach-scaling-leadership/"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eadersadapt.com/teach-scaling-leadership/"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leadersadapt.com/teach-scaling-leadershi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Teaching scaling leadership: a free session plan for founders, executives and MBA classes</dc:title>
  <dc:subject>Leaders ADAPT teaching package</dc:subject>
  <dc:creator>Andreas Pettersson, Leaders ADAPT</dc:creator>
  <cp:keywords/>
  <dc:description>CC BY 4.0. https://www.leadersadapt.com/teach-scaling-leadership/</dc:description>
  <cp:lastModifiedBy/>
  <cp:revision>1</cp:revision>
  <dcterms:created xsi:type="dcterms:W3CDTF">2013-12-23T23:15:00Z</dcterms:created>
  <dcterms:modified xsi:type="dcterms:W3CDTF">2013-12-23T23:15:00Z</dcterms:modified>
  <cp:category/>
</cp:coreProperties>
</file>